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42" w:rsidRPr="00B4714B" w:rsidRDefault="005E3942" w:rsidP="005E39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пільгової категорії, т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необхідні документи під кожну категорію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стипендії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4535"/>
        <w:gridCol w:w="2410"/>
        <w:gridCol w:w="6237"/>
      </w:tblGrid>
      <w:tr w:rsidR="005E3942" w:rsidTr="00765A1D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942" w:rsidRDefault="005E3942" w:rsidP="00765A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42" w:rsidRDefault="005E3942" w:rsidP="00765A1D">
            <w:pPr>
              <w:ind w:left="34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Додатково подаються такі документи:</w:t>
            </w:r>
          </w:p>
        </w:tc>
      </w:tr>
      <w:tr w:rsidR="005E3942" w:rsidTr="00765A1D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771485" w:rsidRDefault="005E3942" w:rsidP="00765A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Коротка назва 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76F22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uk-UA"/>
              </w:rPr>
              <w:t>не</w:t>
            </w:r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викори</w:t>
            </w:r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</w:t>
            </w:r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тову-вати</w:t>
            </w:r>
            <w:proofErr w:type="spellEnd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для оформлення документації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2" w:rsidRPr="00853993" w:rsidRDefault="005E3942" w:rsidP="00765A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5399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Для заяви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6E7878" w:rsidRDefault="005E3942" w:rsidP="00765A1D">
            <w:pPr>
              <w:ind w:left="34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3942" w:rsidTr="00765A1D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285DA8" w:rsidRDefault="005E3942" w:rsidP="00765A1D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Дитина-сирота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 – сирота відповідно до ст. 62 Закону України «Про вищу освіту» та ст. 8 Закону України «Про забезпечення організаційно-правових умов соціальн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 захисту дітей – сиріт та дітей, позб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влених батьківського піклування»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23 років або до закінчення ЗВО.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 рішення органу опіки та піклування про надання статусу дитини – сироти 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 з обліково-статистичної картки дитини - сироти</w:t>
            </w:r>
          </w:p>
        </w:tc>
      </w:tr>
      <w:tr w:rsidR="005E3942" w:rsidTr="00765A1D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285DA8" w:rsidRDefault="005E3942" w:rsidP="00765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позбавл</w:t>
            </w: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батьківського піклування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853993" w:rsidRDefault="005E3942" w:rsidP="00765A1D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позбавлена батьківського пі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лування відповідно до ст. 62 Закону України «Про вищу освіту» та ст. 8 Закону України «Про забезпечення орг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нізаційно-правових умов соціального захисту дітей – сиріт та дітей, позбавл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 батьківського піклування»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 років або до закінчення ЗВО.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 рішення органу опіки та піклування про надання статусу дитини, позбавленої батьківського піклування 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обліково-статистичної картки дитини, позбавл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батьківського піклування</w:t>
            </w:r>
          </w:p>
        </w:tc>
      </w:tr>
      <w:tr w:rsidR="005E3942" w:rsidRPr="0030141B" w:rsidTr="00765A1D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Сироти під час навчання у віці від 18 до 23 років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в період навчання у віці від 18 до 23 років залишилися без батьків (бат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 якої померли/оголошені померлими, загинули або пропали безвісти) відпові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 до ст. 8 Закону України «Про забезп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чення організаційно-правових умов соц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ального захисту дітей – сиріт та дітей, позбавлених батьківського піклування»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ЗВО 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(</w:t>
            </w:r>
            <w:r w:rsidRPr="001D5209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  <w:lang w:val="uk-UA"/>
              </w:rPr>
              <w:t>не довше, ніж до досягнення ними 23 років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54534E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4534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Подається один з документів: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довідка, видана державним підприємством, на яке покладено функції Національного інформаційного бюро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дповідно до Закону України «Про оборону України», за формою, встановленою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Мінреінтеграції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містить відомості про батьків, які є військовополоненими (переб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вають у полоні держави – агресора) / позбавленими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бистої свободи (затримані, взяті у заручники) органами влади держави – агресора (окупаційними адміністраціями та збройними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формуваннями);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документ, що підтверджує загибель батьків, виданий військовим формуванням, правоохоронним органом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ціального призначення;</w:t>
            </w:r>
          </w:p>
          <w:p w:rsidR="005E3942" w:rsidRPr="0054534E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4534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Подаються копії таких документів:</w:t>
            </w:r>
          </w:p>
          <w:p w:rsidR="005E3942" w:rsidRDefault="005E3942" w:rsidP="005E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смерть батьків;</w:t>
            </w:r>
          </w:p>
          <w:p w:rsidR="005E3942" w:rsidRDefault="005E3942" w:rsidP="005E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суду про оголошення батьків померлими;</w:t>
            </w:r>
          </w:p>
          <w:p w:rsidR="005E3942" w:rsidRDefault="005E3942" w:rsidP="005E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суду про визнання батьків безвісно відсу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німи / витяг з Єдиного реєстру осіб, зниклих безвісти за особливих обставин (до початку його функціон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– витяг з Єдиного реєстру досудових розслід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вань), що засвідчує факт внесення до цього реєстру інформації про те, що батьки перебувають у розшуку як зниклі безвісти за особливих обставин або визнані такими, що зникли безвісти за особливих обставин.</w:t>
            </w:r>
          </w:p>
          <w:p w:rsidR="005E3942" w:rsidRPr="0054534E" w:rsidRDefault="005E3942" w:rsidP="00765A1D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*Якщо студента виховувала одинока матір додається витяг з Державного реєстру актів цивільного стану громадян про державну реєстрацію народження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тини, виданий відділом державної реєстрації актів цивільного стану, або довідка про народження,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виконавчим органом сільської, селищної, міської ради, із зазначенням підстави для внесення відомо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 про батька дитини до актового запису про 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дження дитини відповідно до абзацу першого ч. 1 ст. 135 Сімейного кодексу України. </w:t>
            </w:r>
          </w:p>
        </w:tc>
      </w:tr>
      <w:tr w:rsidR="005E3942" w:rsidRPr="0030141B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Постраждалі внаслідок ЧАЕС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має право на отримання с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ціальної стипендії відповідно до ст. 20-22 і 30 Закону України «Про статус і соці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льний захист громадян, які постраждали внаслідок Чорнобильської катастрофи» (</w:t>
            </w:r>
            <w:r w:rsidRPr="008539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 час написання заяви необхідно вказ</w:t>
            </w:r>
            <w:r w:rsidRPr="008539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</w:t>
            </w:r>
            <w:r w:rsidRPr="008539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вати конкретну статтю Закону)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дії посвідчення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відповідного посвідчення, що підтверджує статус особи, яка постраждала внаслідок Чорнобильської ката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довідки встановленого зразка, виданого неповн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літній дитині померлого громадянина, віднесеного до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тегорії 1, 2 та 3 учасників ліквідації наслідків аварії на Чорнобильській АЕС, смерть якого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пов’язана з Чорн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бильською катастрофою.</w:t>
            </w:r>
          </w:p>
        </w:tc>
      </w:tr>
      <w:tr w:rsidR="005E3942" w:rsidRPr="0030141B" w:rsidTr="00765A1D">
        <w:trPr>
          <w:trHeight w:val="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Шахтарі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Шахтарі, які мають стаж підземної р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боти не менше, як 3 роки відповідно до ст. 5 Закону України «Про підвищення престижності шахтарської праці»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з гірничого підприємства із зазначенням стажу підземної роботи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*У разі неможливості подання довідки з гірничого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 із зазначенням стажу підземної роботи подаєт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довідка з Пенсійного фонду України із зазначенням стажу підземної роботи.</w:t>
            </w:r>
          </w:p>
        </w:tc>
      </w:tr>
      <w:tr w:rsidR="005E3942" w:rsidRPr="0030141B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шахтарів, що мають стаж підземної роботи більше 15 років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стала студентом протягом трьох років після здобуття базової та/ або повної загальної середньої освіти,  батьки яких є шахтарями, що мають стаж підз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мної роботи не менш як 15 років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ЗВО, тобто до завершення першого (бакалав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рівня вищої освіти!!! (якщо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тягом 3 років після здобуття загальної середньої освіти вступив до ЗВО) 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Довідка з гірничого підприємства із зазначенням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 підземної роботи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свідоцтво про народження студента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*У разі неможливості подання довідки з гірничого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 із зазначенням стажу підземної роботи подаєт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довідка з Пенсійного фонду України із зазначенням стажу підземної роботи.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якого є шахтарем та загинув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внасл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 нещасного випадку на вир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бництві чи яким встановлено інв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лідність І або ІІ групи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стала студентом протягом трьох років після здобуття базової та/ або повної заг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альної середньої освіти,  батько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якої є шахтарем та загинув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внаслідок н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щасного випадку на виробництві чи яким встановлено інвалідність І або ІІ групи, відповідно до ст. 5 Закону України «Про підвищення престижності шахтарської праці»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F91ABF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ЗВО, тобто до завершення першого (бакалав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рівня вищої освіти!!! (якщо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тягом 3 років після здобуття загальної середньої освіти вступив до ЗВО)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свідоцтво про народження студента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Акт про нещасний випадок, пов’язаний з виробниц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вом, за формою Н-1, яка була чинна до 01.07.2019 р.;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Копію довідки медико-соціальної експертизи;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свідоцтва про смерть батька (матері).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визнані постраждалими учасниками Рев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люції гідності та їх діти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Особи, визнані постраждалими учасн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ками Революції Гідності, відповідно до Закону України «Про статус ветеранів війни, гарантій їх соціального захисту» відповідно до ст. 44 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Закону України «Про вищу освіту»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 особи, визнаної постраждалим учасником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Революції Гідності 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Копія свідоцтва про народження студента;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Посвідчення постраждалого учасника Революції 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встановленого зразка.</w:t>
            </w:r>
          </w:p>
        </w:tc>
      </w:tr>
      <w:tr w:rsidR="005E3942" w:rsidRPr="00965573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бой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дій (АТО та ін.) та їх діти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бойових дій 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учасника бойових дій відпов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дно до Закону України «Про статус вет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ранів війни, гарантій їх соціального зах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сту» відповідно до ст. 44 Закону України «Про вищу освіту»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Копія свідоцтва про народження студента;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Посвідчення учасника бойових дій встановленого 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зка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довідка про безпосередню участь особи в антит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рористичній операції, забезпеченні її проведення і захисті незалежності, суверенітету та територіальної цілісності України 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довідки про участь особи у здійсненні заходів із забезпечення національної безпеки і оборони, відсічі і стримування збройної агресії Російської Федерації 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нецькій та Луганській областях, забезпеченні їх здійсне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  <w:p w:rsidR="005E3942" w:rsidRPr="00965573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65573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73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Копія </w:t>
            </w:r>
            <w:r w:rsidRPr="00965573"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k-UA"/>
              </w:rPr>
              <w:t>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</w:t>
            </w:r>
            <w:r w:rsidRPr="00965573"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k-UA"/>
              </w:rPr>
              <w:t>ь</w:t>
            </w:r>
            <w:r w:rsidRPr="00965573"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k-UA"/>
              </w:rPr>
              <w:t>ковою агресією Російської Федерації проти України</w:t>
            </w:r>
          </w:p>
        </w:tc>
      </w:tr>
      <w:tr w:rsidR="005E3942" w:rsidTr="00765A1D">
        <w:trPr>
          <w:trHeight w:val="2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 з батьків загинув/помер </w:t>
            </w:r>
          </w:p>
          <w:p w:rsidR="005E3942" w:rsidRDefault="005E3942" w:rsidP="00765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громадя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ського протесту</w:t>
            </w:r>
          </w:p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випадки)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4A790F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один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батьків якої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A7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загинув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під час масових акцій громадянського прот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сту або </w:t>
            </w:r>
            <w:r w:rsidRPr="004A7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помер 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внаслідок поранення, контузії чи каліцтва, одержаних під час м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акцій громадянського протесту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відповідно </w:t>
            </w:r>
            <w:hyperlink r:id="rId6" w:anchor="n747" w:tgtFrame="_blank" w:history="1">
              <w:r w:rsidRPr="00FF1DF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статті 44</w:t>
              </w:r>
            </w:hyperlink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Закону України “Про вищу освіту”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Копія свідоцтва про народження студента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копія свідоцтва про смерть батька (матері);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довідка або посвідчення члена сім’ї загиблого (поме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лого) ветерана війни встановленого зразка.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реміщені особи (ВПО)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зареєстрована як внутрішньо переміщена особа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Копія довідки про взяття на облік внутрішньо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міщеної особи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пендія Верховної ради України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Особа, якій призначена соціальна стипендія Верховної Ради України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бувачів 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ЗВО з числа дітей-сиріт та дітей з малозабезпечених сімей відповідно до постанови Верховної Ради України від 24.10.2002 р. № 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КМУ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або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з інвалідністю</w:t>
            </w:r>
          </w:p>
          <w:p w:rsidR="005E3942" w:rsidRDefault="005E3942" w:rsidP="00765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I—III групи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 з інвалідністю та особа з інвал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дністю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I—III групи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1)Копія медичного висновку про дитину з інвалідністю віком до 18 років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довідки медико-соціальної експертизи;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сім’ї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Студент із сім’ї, яка отримує допомогу відповідно до Закону України “Про державну соціальну допомогу малозабезп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ченим сім’ям”</w:t>
            </w:r>
          </w:p>
          <w:p w:rsidR="005E3942" w:rsidRPr="00853993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Довідка органу соціального захисту населення про призначення сім’ї допомоги відповідно до Закону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«Про державну соціальну допомогу малозабезпеченим сім’ям»</w:t>
            </w:r>
          </w:p>
        </w:tc>
      </w:tr>
      <w:tr w:rsidR="005E3942" w:rsidRPr="0030141B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ністю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внаслідок війни та їх діти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Особа з інвалідністю внаслідок війни відповідно до </w:t>
            </w:r>
            <w:hyperlink r:id="rId7" w:tgtFrame="_top" w:history="1"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Закону України "Про 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lastRenderedPageBreak/>
                <w:t>ст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а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тус ветеранів війни, гарантії їх соціальн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о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го захисту"</w:t>
              </w:r>
            </w:hyperlink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відповідно до ст. 44 Закону України «Про визу освіту»</w:t>
            </w:r>
          </w:p>
          <w:p w:rsidR="005E3942" w:rsidRPr="00FF1DF0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F1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</w:t>
            </w:r>
          </w:p>
          <w:p w:rsidR="005E3942" w:rsidRPr="00853993" w:rsidRDefault="005E3942" w:rsidP="00765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Дитина, о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 інвалідністю внаслідок війни відповідно до </w:t>
            </w:r>
            <w:hyperlink r:id="rId8" w:tgtFrame="_top" w:history="1"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Закону України 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«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Про статус ветеранів війни, гарантії їх соці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а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льного захисту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»</w:t>
              </w:r>
            </w:hyperlink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т.. 44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кону України «Про вищ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 освіту»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вчального закладу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Копія свідоцтва про народження;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посвідчення особи з інвалідністю внаслідок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війни встановленого зразка.</w:t>
            </w:r>
          </w:p>
        </w:tc>
      </w:tr>
      <w:tr w:rsidR="005E3942" w:rsidRPr="0030141B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лих, померлих учасників Рев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люції Гідності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B315B8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загиблих, померлих (тих, що пропали безвісти) учасників Революції Гідності, учасників бойових дій, осіб з інвалідністю внаслідок війни або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ників і Захисниць України 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відповідно до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Закону України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“Про статус ветеранів війни, гарантії їх соціального захи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ту”,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anchor="n747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статті 44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Закону України “Про вищу освіту”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Свідоцтво про народження студента;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копія свідоцтва про смерть матері (батька);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довідки або посвідчення члена сім’ї загиблого / посвідчення члена сім’ї загиблого Захисника чи Захисн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України встановленого зразка.</w:t>
            </w:r>
          </w:p>
        </w:tc>
      </w:tr>
      <w:tr w:rsidR="005E3942" w:rsidRPr="0030141B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F43036" w:rsidRDefault="005E3942" w:rsidP="00765A1D">
            <w:pPr>
              <w:ind w:left="-142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3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лих, померлих учасників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вих дій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загиблих, померлих (тих, що пропали безвісти) учасників бойових дій, осіб з інвалідністю внаслідок війни або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Захисників і Захисниць України 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відпов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дно до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Закону України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“Про статус вет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ранів війни, гарантії їх соціального зах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сту”,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anchor="n747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статті 44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Закону України “Про вищу освіту”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Свідоцтво про народження студента;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копія свідоцтва про смерть матері (батька);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довідки або посвідчення члена сім’ї загиблого / посвідчення члена сім’ї загиблого Захисника чи Захисн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України встановленого зразка.</w:t>
            </w:r>
          </w:p>
        </w:tc>
      </w:tr>
      <w:tr w:rsidR="005E3942" w:rsidTr="00765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Лінія зіткнення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Pr="00853993" w:rsidRDefault="005E3942" w:rsidP="00765A1D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Дитина, яка проживає у населеному п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нкті на лінії зіткнення відповідно до ст. 44 Закону України «Про вищу освіту»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закладу за певним освітньо-кваліфікаційним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Витяг з реєстру територіальної громади, який містить відомості про задеклароване / зареєстроване місце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живання (перебування) особи в населеному пункті на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нії розмежування*.</w:t>
            </w: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942" w:rsidRDefault="005E3942" w:rsidP="00765A1D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*За умови, якщо в день звернення за її призначенням населений пункт, в якому вони проживали на момент зарахування до ЗВО, віднесено до переліку населених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тів, що розташовані на лінії розмежування </w:t>
            </w:r>
          </w:p>
        </w:tc>
      </w:tr>
    </w:tbl>
    <w:p w:rsidR="005E3942" w:rsidRDefault="005E3942" w:rsidP="005E39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5E3942" w:rsidSect="00316D7B">
          <w:pgSz w:w="16838" w:h="11906" w:orient="landscape"/>
          <w:pgMar w:top="1418" w:right="567" w:bottom="850" w:left="284" w:header="708" w:footer="708" w:gutter="0"/>
          <w:cols w:space="708"/>
          <w:docGrid w:linePitch="360"/>
        </w:sectPr>
      </w:pPr>
    </w:p>
    <w:p w:rsidR="00873123" w:rsidRPr="005E3942" w:rsidRDefault="00873123">
      <w:pPr>
        <w:rPr>
          <w:lang w:val="uk-UA"/>
        </w:rPr>
      </w:pPr>
    </w:p>
    <w:sectPr w:rsidR="00873123" w:rsidRPr="005E3942" w:rsidSect="005E3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5E8"/>
    <w:multiLevelType w:val="multilevel"/>
    <w:tmpl w:val="9CE6B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02021A1"/>
    <w:multiLevelType w:val="hybridMultilevel"/>
    <w:tmpl w:val="E1F27B52"/>
    <w:lvl w:ilvl="0" w:tplc="4738AF7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2"/>
    <w:rsid w:val="005E3942"/>
    <w:rsid w:val="00873123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42"/>
    <w:pPr>
      <w:ind w:left="720"/>
      <w:contextualSpacing/>
    </w:pPr>
  </w:style>
  <w:style w:type="table" w:styleId="a4">
    <w:name w:val="Table Grid"/>
    <w:basedOn w:val="a1"/>
    <w:uiPriority w:val="59"/>
    <w:rsid w:val="005E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42"/>
    <w:pPr>
      <w:ind w:left="720"/>
      <w:contextualSpacing/>
    </w:pPr>
  </w:style>
  <w:style w:type="table" w:styleId="a4">
    <w:name w:val="Table Grid"/>
    <w:basedOn w:val="a1"/>
    <w:uiPriority w:val="59"/>
    <w:rsid w:val="005E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35510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355100.html" TargetMode="External"/><Relationship Id="rId12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5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2023-12-26T10:42:00Z</dcterms:created>
  <dcterms:modified xsi:type="dcterms:W3CDTF">2023-12-26T10:44:00Z</dcterms:modified>
</cp:coreProperties>
</file>